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6A" w:rsidRDefault="001041A2">
      <w:pPr>
        <w:spacing w:line="560" w:lineRule="exact"/>
        <w:jc w:val="left"/>
        <w:rPr>
          <w:rFonts w:ascii="黑体" w:eastAsia="黑体" w:hAnsi="黑体" w:cs="方正小标宋简体"/>
          <w:sz w:val="32"/>
          <w:szCs w:val="32"/>
        </w:rPr>
      </w:pPr>
      <w:r>
        <w:rPr>
          <w:rFonts w:ascii="黑体" w:eastAsia="黑体" w:hAnsi="黑体" w:cs="方正小标宋简体" w:hint="eastAsia"/>
          <w:sz w:val="32"/>
          <w:szCs w:val="32"/>
        </w:rPr>
        <w:t>附件</w:t>
      </w:r>
    </w:p>
    <w:p w:rsidR="009E7B6A" w:rsidRDefault="009E7B6A">
      <w:pPr>
        <w:spacing w:line="560" w:lineRule="exact"/>
        <w:jc w:val="center"/>
        <w:rPr>
          <w:rFonts w:ascii="方正小标宋简体" w:eastAsia="方正小标宋简体" w:hAnsi="方正小标宋简体" w:cs="方正小标宋简体"/>
          <w:sz w:val="44"/>
          <w:szCs w:val="44"/>
        </w:rPr>
      </w:pPr>
      <w:bookmarkStart w:id="0" w:name="_GoBack"/>
      <w:bookmarkEnd w:id="0"/>
    </w:p>
    <w:p w:rsidR="009E7B6A" w:rsidRDefault="001041A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电力业务许可证延续及注销管理办法</w:t>
      </w:r>
    </w:p>
    <w:p w:rsidR="009E7B6A" w:rsidRDefault="001041A2">
      <w:pPr>
        <w:spacing w:line="560" w:lineRule="exact"/>
        <w:jc w:val="center"/>
        <w:rPr>
          <w:rFonts w:ascii="仿宋" w:eastAsia="仿宋" w:hAnsi="仿宋" w:cs="FangSong_GB2312"/>
          <w:color w:val="000000" w:themeColor="text1"/>
          <w:sz w:val="32"/>
          <w:szCs w:val="32"/>
        </w:rPr>
      </w:pPr>
      <w:r>
        <w:rPr>
          <w:rFonts w:ascii="仿宋" w:eastAsia="仿宋" w:hAnsi="仿宋" w:hint="eastAsia"/>
          <w:sz w:val="32"/>
          <w:szCs w:val="32"/>
        </w:rPr>
        <w:t>（征求意见稿）</w:t>
      </w:r>
    </w:p>
    <w:p w:rsidR="009E7B6A" w:rsidRDefault="009E7B6A">
      <w:pPr>
        <w:spacing w:line="560" w:lineRule="exact"/>
        <w:rPr>
          <w:rFonts w:ascii="FangSong_GB2312" w:eastAsia="FangSong_GB2312" w:hAnsi="FangSong_GB2312" w:cs="FangSong_GB2312"/>
          <w:sz w:val="32"/>
          <w:szCs w:val="32"/>
        </w:rPr>
      </w:pPr>
    </w:p>
    <w:p w:rsidR="009E7B6A" w:rsidRDefault="001041A2">
      <w:pPr>
        <w:spacing w:line="56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第一条</w:t>
      </w:r>
      <w:r w:rsidR="00D268C9">
        <w:rPr>
          <w:rFonts w:ascii="黑体" w:eastAsia="黑体" w:hAnsi="黑体" w:cs="FangSong_GB2312" w:hint="eastAsia"/>
          <w:sz w:val="32"/>
          <w:szCs w:val="32"/>
        </w:rPr>
        <w:t xml:space="preserve"> </w:t>
      </w:r>
      <w:r>
        <w:rPr>
          <w:rFonts w:ascii="仿宋" w:eastAsia="仿宋" w:hAnsi="仿宋" w:cs="FangSong_GB2312" w:hint="eastAsia"/>
          <w:sz w:val="32"/>
          <w:szCs w:val="32"/>
        </w:rPr>
        <w:t>为规范电力业务许可证的延续、注销管理，保护被许可人的合法权益，促进电力系统安全、稳定运行，维护公共利益，根据《中华人民共和国行政许可法》《电力监管条例》《电力业务许可证管理规定》等法律法规，制定本办法。</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第二条</w:t>
      </w:r>
      <w:r w:rsidR="00D268C9">
        <w:rPr>
          <w:rFonts w:ascii="黑体" w:eastAsia="黑体" w:hAnsi="黑体" w:cs="FangSong_GB2312" w:hint="eastAsia"/>
          <w:sz w:val="32"/>
          <w:szCs w:val="32"/>
        </w:rPr>
        <w:t xml:space="preserve"> </w:t>
      </w:r>
      <w:r>
        <w:rPr>
          <w:rFonts w:ascii="仿宋" w:eastAsia="仿宋" w:hAnsi="仿宋" w:cs="FangSong_GB2312" w:hint="eastAsia"/>
          <w:sz w:val="32"/>
          <w:szCs w:val="32"/>
        </w:rPr>
        <w:t>实施电力业务许可证的延续、注销，适用本办法。</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本办法所称电力业务许可证延续是指被许可人在其持有的电力业务许可证有效期届满前，为继续合法从事相关电力业务，应当依法办理有效期延续手续的行政许可程序性行为。</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本办法所称电力业务许可证注销是指被许可人已取得的电力业务许可存在被依法撤回、撤销，或者许可证被依法吊销等法定情形，应当依法办理注销手续的行政许可程序性行为。</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黑体" w:hint="eastAsia"/>
          <w:sz w:val="32"/>
          <w:szCs w:val="32"/>
        </w:rPr>
        <w:t>第三条</w:t>
      </w:r>
      <w:r w:rsidR="00D268C9">
        <w:rPr>
          <w:rFonts w:ascii="黑体" w:eastAsia="黑体" w:hAnsi="黑体" w:cs="黑体" w:hint="eastAsia"/>
          <w:sz w:val="32"/>
          <w:szCs w:val="32"/>
        </w:rPr>
        <w:t xml:space="preserve"> </w:t>
      </w:r>
      <w:r>
        <w:rPr>
          <w:rFonts w:ascii="仿宋" w:eastAsia="仿宋" w:hAnsi="仿宋" w:cs="仿宋" w:hint="eastAsia"/>
          <w:sz w:val="32"/>
          <w:szCs w:val="32"/>
        </w:rPr>
        <w:t>电力业务</w:t>
      </w:r>
      <w:r>
        <w:rPr>
          <w:rFonts w:ascii="仿宋" w:eastAsia="仿宋" w:hAnsi="仿宋" w:cs="FangSong_GB2312" w:hint="eastAsia"/>
          <w:sz w:val="32"/>
          <w:szCs w:val="32"/>
        </w:rPr>
        <w:t>许可证延续、注销的实施，应当遵循依法、公开、公正的原则。</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第四条</w:t>
      </w:r>
      <w:r>
        <w:rPr>
          <w:rFonts w:ascii="仿宋" w:eastAsia="仿宋" w:hAnsi="仿宋" w:cs="FangSong_GB2312" w:hint="eastAsia"/>
          <w:sz w:val="32"/>
          <w:szCs w:val="32"/>
        </w:rPr>
        <w:t xml:space="preserve"> 国家能源局及其派出机构应当依照本办法实施撤回、撤销电力业务许可和吊销电力业务许可证，办理许可证延续、注销手续。法律法规另有规定的，从其规定。</w:t>
      </w:r>
    </w:p>
    <w:p w:rsidR="00824C0E" w:rsidRDefault="00824C0E">
      <w:pPr>
        <w:spacing w:line="560" w:lineRule="exact"/>
        <w:ind w:firstLineChars="200" w:firstLine="640"/>
        <w:rPr>
          <w:rFonts w:ascii="FangSong_GB2312" w:eastAsia="FangSong_GB2312" w:hAnsi="FangSong_GB2312" w:cs="FangSong_GB2312"/>
          <w:sz w:val="32"/>
          <w:szCs w:val="32"/>
        </w:rPr>
      </w:pPr>
      <w:r>
        <w:rPr>
          <w:rFonts w:ascii="仿宋" w:eastAsia="仿宋" w:hAnsi="仿宋" w:cs="FangSong_GB2312" w:hint="eastAsia"/>
          <w:sz w:val="32"/>
          <w:szCs w:val="32"/>
        </w:rPr>
        <w:lastRenderedPageBreak/>
        <w:t>国家能源局及其派出机构作出</w:t>
      </w:r>
      <w:r>
        <w:rPr>
          <w:rStyle w:val="15"/>
          <w:rFonts w:ascii="仿宋" w:eastAsia="仿宋" w:hAnsi="仿宋" w:hint="eastAsia"/>
          <w:kern w:val="0"/>
          <w:sz w:val="32"/>
          <w:szCs w:val="32"/>
        </w:rPr>
        <w:t>电力业务许可证</w:t>
      </w:r>
      <w:r>
        <w:rPr>
          <w:rFonts w:ascii="仿宋" w:eastAsia="仿宋" w:hAnsi="仿宋" w:cs="FangSong_GB2312" w:hint="eastAsia"/>
          <w:sz w:val="32"/>
          <w:szCs w:val="32"/>
        </w:rPr>
        <w:t>延续、撤回、撤销、注销、吊销的决定，</w:t>
      </w:r>
      <w:r>
        <w:rPr>
          <w:rStyle w:val="15"/>
          <w:rFonts w:ascii="仿宋" w:eastAsia="仿宋" w:hAnsi="仿宋" w:hint="eastAsia"/>
          <w:kern w:val="0"/>
          <w:sz w:val="32"/>
          <w:szCs w:val="32"/>
        </w:rPr>
        <w:t>应抄送</w:t>
      </w:r>
      <w:r w:rsidR="008F60D4">
        <w:rPr>
          <w:rStyle w:val="15"/>
          <w:rFonts w:ascii="仿宋" w:eastAsia="仿宋" w:hAnsi="仿宋" w:hint="eastAsia"/>
          <w:kern w:val="0"/>
          <w:sz w:val="32"/>
          <w:szCs w:val="32"/>
        </w:rPr>
        <w:t>相关</w:t>
      </w:r>
      <w:r w:rsidR="007B689D">
        <w:rPr>
          <w:rStyle w:val="15"/>
          <w:rFonts w:ascii="仿宋" w:eastAsia="仿宋" w:hAnsi="仿宋" w:hint="eastAsia"/>
          <w:kern w:val="0"/>
          <w:sz w:val="32"/>
          <w:szCs w:val="32"/>
        </w:rPr>
        <w:t>省级电力主管部门、电网企业及</w:t>
      </w:r>
      <w:r>
        <w:rPr>
          <w:rStyle w:val="15"/>
          <w:rFonts w:ascii="仿宋" w:eastAsia="仿宋" w:hAnsi="仿宋" w:hint="eastAsia"/>
          <w:kern w:val="0"/>
          <w:sz w:val="32"/>
          <w:szCs w:val="32"/>
        </w:rPr>
        <w:t>电力交易机构。</w:t>
      </w:r>
    </w:p>
    <w:p w:rsidR="00824C0E" w:rsidRPr="00824C0E" w:rsidRDefault="001041A2">
      <w:pPr>
        <w:spacing w:line="560" w:lineRule="exact"/>
        <w:ind w:firstLineChars="200" w:firstLine="640"/>
        <w:rPr>
          <w:rFonts w:ascii="仿宋" w:eastAsia="仿宋" w:hAnsi="仿宋" w:cs="FangSong_GB2312"/>
          <w:sz w:val="32"/>
          <w:szCs w:val="32"/>
        </w:rPr>
      </w:pPr>
      <w:r w:rsidRPr="00DC2CB2">
        <w:rPr>
          <w:rFonts w:ascii="仿宋" w:eastAsia="仿宋" w:hAnsi="仿宋" w:cs="FangSong_GB2312" w:hint="eastAsia"/>
          <w:sz w:val="32"/>
          <w:szCs w:val="32"/>
        </w:rPr>
        <w:t>国家能源局对其派出机构实施的电力业务许可证</w:t>
      </w:r>
      <w:r w:rsidR="00D268C9" w:rsidRPr="00DC2CB2">
        <w:rPr>
          <w:rFonts w:ascii="仿宋" w:eastAsia="仿宋" w:hAnsi="仿宋" w:cs="FangSong_GB2312" w:hint="eastAsia"/>
          <w:sz w:val="32"/>
          <w:szCs w:val="32"/>
        </w:rPr>
        <w:t>延续、</w:t>
      </w:r>
      <w:r w:rsidRPr="00DC2CB2">
        <w:rPr>
          <w:rFonts w:ascii="仿宋" w:eastAsia="仿宋" w:hAnsi="仿宋" w:cs="FangSong_GB2312" w:hint="eastAsia"/>
          <w:sz w:val="32"/>
          <w:szCs w:val="32"/>
        </w:rPr>
        <w:t>注销工作进行指导和监督。</w:t>
      </w:r>
    </w:p>
    <w:p w:rsidR="009E7B6A" w:rsidRDefault="009E7B6A">
      <w:pPr>
        <w:spacing w:line="560" w:lineRule="exact"/>
        <w:jc w:val="center"/>
        <w:rPr>
          <w:rFonts w:ascii="黑体" w:eastAsia="黑体" w:hAnsi="黑体" w:cs="黑体"/>
          <w:sz w:val="32"/>
          <w:szCs w:val="32"/>
        </w:rPr>
      </w:pPr>
    </w:p>
    <w:p w:rsidR="009E7B6A" w:rsidRDefault="001041A2">
      <w:pPr>
        <w:spacing w:line="560" w:lineRule="exact"/>
        <w:jc w:val="center"/>
        <w:rPr>
          <w:rFonts w:ascii="黑体" w:eastAsia="黑体" w:hAnsi="黑体" w:cs="黑体"/>
          <w:sz w:val="32"/>
          <w:szCs w:val="32"/>
        </w:rPr>
      </w:pPr>
      <w:r>
        <w:rPr>
          <w:rFonts w:ascii="黑体" w:eastAsia="黑体" w:hAnsi="黑体" w:cs="黑体" w:hint="eastAsia"/>
          <w:sz w:val="32"/>
          <w:szCs w:val="32"/>
        </w:rPr>
        <w:t>第二章 电力业务许可证的延续</w:t>
      </w:r>
    </w:p>
    <w:p w:rsidR="009E7B6A" w:rsidRDefault="001041A2" w:rsidP="000827A2">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 xml:space="preserve">第五条 </w:t>
      </w:r>
      <w:r>
        <w:rPr>
          <w:rFonts w:ascii="仿宋" w:eastAsia="仿宋" w:hAnsi="仿宋" w:cs="仿宋" w:hint="eastAsia"/>
          <w:sz w:val="32"/>
          <w:szCs w:val="32"/>
        </w:rPr>
        <w:t>电力业务许可证有效期届满需要延续的，</w:t>
      </w:r>
      <w:r w:rsidR="000827A2">
        <w:rPr>
          <w:rFonts w:ascii="仿宋" w:eastAsia="仿宋" w:hAnsi="仿宋" w:cs="仿宋" w:hint="eastAsia"/>
          <w:sz w:val="32"/>
          <w:szCs w:val="32"/>
        </w:rPr>
        <w:t>被许可人应当在有效期届满30日前向</w:t>
      </w:r>
      <w:r w:rsidR="007B689D">
        <w:rPr>
          <w:rFonts w:ascii="仿宋" w:eastAsia="仿宋" w:hAnsi="仿宋" w:cs="仿宋" w:hint="eastAsia"/>
          <w:sz w:val="32"/>
          <w:szCs w:val="32"/>
        </w:rPr>
        <w:t>国家能源局</w:t>
      </w:r>
      <w:r w:rsidR="000827A2">
        <w:rPr>
          <w:rFonts w:ascii="仿宋" w:eastAsia="仿宋" w:hAnsi="仿宋" w:cs="仿宋" w:hint="eastAsia"/>
          <w:sz w:val="32"/>
          <w:szCs w:val="32"/>
        </w:rPr>
        <w:t>派出机构</w:t>
      </w:r>
      <w:r w:rsidR="007B689D">
        <w:rPr>
          <w:rFonts w:ascii="仿宋" w:eastAsia="仿宋" w:hAnsi="仿宋" w:cs="仿宋" w:hint="eastAsia"/>
          <w:sz w:val="32"/>
          <w:szCs w:val="32"/>
        </w:rPr>
        <w:t>（以下简称“派出机构”）</w:t>
      </w:r>
      <w:r w:rsidR="000827A2">
        <w:rPr>
          <w:rFonts w:ascii="仿宋" w:eastAsia="仿宋" w:hAnsi="仿宋" w:cs="仿宋" w:hint="eastAsia"/>
          <w:sz w:val="32"/>
          <w:szCs w:val="32"/>
        </w:rPr>
        <w:t>提出申请，并</w:t>
      </w:r>
      <w:r>
        <w:rPr>
          <w:rFonts w:ascii="仿宋" w:eastAsia="仿宋" w:hAnsi="仿宋" w:cs="仿宋" w:hint="eastAsia"/>
          <w:sz w:val="32"/>
          <w:szCs w:val="32"/>
        </w:rPr>
        <w:t>提交以下材料：</w:t>
      </w:r>
    </w:p>
    <w:p w:rsidR="009E7B6A" w:rsidRDefault="001041A2">
      <w:pPr>
        <w:spacing w:line="560" w:lineRule="exact"/>
        <w:ind w:firstLine="640"/>
        <w:jc w:val="left"/>
        <w:rPr>
          <w:rFonts w:ascii="仿宋" w:eastAsia="仿宋" w:hAnsi="仿宋" w:cs="仿宋"/>
          <w:sz w:val="32"/>
          <w:szCs w:val="32"/>
        </w:rPr>
      </w:pPr>
      <w:r>
        <w:rPr>
          <w:rFonts w:ascii="仿宋" w:eastAsia="仿宋" w:hAnsi="仿宋" w:cs="仿宋" w:hint="eastAsia"/>
          <w:sz w:val="32"/>
          <w:szCs w:val="32"/>
        </w:rPr>
        <w:t>（一）法定代表人签署的电力业务许可证延续申请表；</w:t>
      </w:r>
    </w:p>
    <w:p w:rsidR="009E7B6A" w:rsidRDefault="001041A2">
      <w:pPr>
        <w:spacing w:line="560" w:lineRule="exact"/>
        <w:ind w:firstLineChars="200" w:firstLine="640"/>
        <w:rPr>
          <w:rFonts w:ascii="仿宋" w:eastAsia="仿宋" w:hAnsi="仿宋" w:cs="仿宋"/>
          <w:sz w:val="32"/>
          <w:szCs w:val="32"/>
        </w:rPr>
      </w:pPr>
      <w:r>
        <w:rPr>
          <w:rFonts w:ascii="仿宋" w:eastAsia="仿宋" w:hAnsi="仿宋" w:cs="FangSong_GB2312" w:hint="eastAsia"/>
          <w:sz w:val="32"/>
          <w:szCs w:val="32"/>
        </w:rPr>
        <w:t>（二）</w:t>
      </w:r>
      <w:r>
        <w:rPr>
          <w:rFonts w:ascii="仿宋" w:eastAsia="仿宋" w:hAnsi="仿宋" w:cs="FangSong_GB2312" w:hint="eastAsia"/>
          <w:spacing w:val="-6"/>
          <w:sz w:val="32"/>
          <w:szCs w:val="32"/>
        </w:rPr>
        <w:t>法定代表人身份证复印件，如需代理人办理的，</w:t>
      </w:r>
      <w:r>
        <w:rPr>
          <w:rFonts w:ascii="仿宋" w:eastAsia="仿宋" w:hAnsi="仿宋" w:cs="FangSong_GB2312" w:hint="eastAsia"/>
          <w:sz w:val="32"/>
          <w:szCs w:val="32"/>
        </w:rPr>
        <w:t>提供代理人身份证复印件，以及法定代表人签字并加盖申请单位公章的《授权委托书》原件；</w:t>
      </w:r>
    </w:p>
    <w:p w:rsidR="009E7B6A" w:rsidRDefault="001041A2">
      <w:pPr>
        <w:spacing w:line="560" w:lineRule="exact"/>
        <w:ind w:firstLine="640"/>
        <w:jc w:val="left"/>
        <w:rPr>
          <w:rFonts w:ascii="仿宋" w:eastAsia="仿宋" w:hAnsi="仿宋" w:cs="仿宋"/>
          <w:sz w:val="32"/>
          <w:szCs w:val="32"/>
        </w:rPr>
      </w:pPr>
      <w:r>
        <w:rPr>
          <w:rFonts w:ascii="仿宋" w:eastAsia="仿宋" w:hAnsi="仿宋" w:cs="仿宋" w:hint="eastAsia"/>
          <w:sz w:val="32"/>
          <w:szCs w:val="32"/>
        </w:rPr>
        <w:t>（三）电力业务许可证正、副本；</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（四）法律法规规定的其他材料。</w:t>
      </w:r>
    </w:p>
    <w:p w:rsidR="009E7B6A" w:rsidRDefault="001041A2">
      <w:pPr>
        <w:spacing w:line="560" w:lineRule="exact"/>
        <w:ind w:firstLine="640"/>
        <w:jc w:val="left"/>
        <w:rPr>
          <w:rFonts w:ascii="仿宋" w:eastAsia="仿宋" w:hAnsi="仿宋" w:cs="仿宋"/>
          <w:sz w:val="32"/>
          <w:szCs w:val="32"/>
        </w:rPr>
      </w:pPr>
      <w:r>
        <w:rPr>
          <w:rFonts w:ascii="黑体" w:eastAsia="黑体" w:hAnsi="黑体" w:cs="黑体" w:hint="eastAsia"/>
          <w:sz w:val="32"/>
          <w:szCs w:val="32"/>
        </w:rPr>
        <w:t xml:space="preserve">第六条 </w:t>
      </w:r>
      <w:r w:rsidR="002D3652" w:rsidRPr="002D3652">
        <w:rPr>
          <w:rFonts w:ascii="仿宋" w:eastAsia="仿宋" w:hAnsi="仿宋" w:cs="黑体" w:hint="eastAsia"/>
          <w:sz w:val="32"/>
          <w:szCs w:val="32"/>
        </w:rPr>
        <w:t>被许可人</w:t>
      </w:r>
      <w:r w:rsidR="002D3652">
        <w:rPr>
          <w:rFonts w:ascii="仿宋" w:eastAsia="仿宋" w:hAnsi="仿宋" w:cs="仿宋" w:hint="eastAsia"/>
          <w:sz w:val="32"/>
          <w:szCs w:val="32"/>
        </w:rPr>
        <w:t>提交的材料不齐全的，派出机构应一次性告知需补齐的材料；</w:t>
      </w:r>
      <w:r>
        <w:rPr>
          <w:rFonts w:ascii="仿宋" w:eastAsia="仿宋" w:hAnsi="仿宋" w:cs="仿宋" w:hint="eastAsia"/>
          <w:sz w:val="32"/>
          <w:szCs w:val="32"/>
        </w:rPr>
        <w:t>被许可人提交材料齐全的，派出机构应在正式受理后10个工作日内</w:t>
      </w:r>
      <w:r w:rsidR="000827A2">
        <w:rPr>
          <w:rFonts w:ascii="仿宋" w:eastAsia="仿宋" w:hAnsi="仿宋" w:cs="仿宋" w:hint="eastAsia"/>
          <w:sz w:val="32"/>
          <w:szCs w:val="32"/>
        </w:rPr>
        <w:t>作出是否准予延续的决定</w:t>
      </w:r>
      <w:r>
        <w:rPr>
          <w:rFonts w:ascii="仿宋" w:eastAsia="仿宋" w:hAnsi="仿宋" w:cs="仿宋" w:hint="eastAsia"/>
          <w:sz w:val="32"/>
          <w:szCs w:val="32"/>
        </w:rPr>
        <w:t>。逾期未作出决定的，视为同意延续并补办相应手续。</w:t>
      </w:r>
    </w:p>
    <w:p w:rsidR="009E7B6A" w:rsidRDefault="001041A2">
      <w:pPr>
        <w:spacing w:line="560" w:lineRule="exact"/>
        <w:jc w:val="center"/>
        <w:rPr>
          <w:rFonts w:ascii="仿宋" w:eastAsia="仿宋" w:hAnsi="仿宋" w:cs="仿宋"/>
          <w:sz w:val="32"/>
          <w:szCs w:val="32"/>
        </w:rPr>
      </w:pPr>
      <w:r>
        <w:rPr>
          <w:rFonts w:ascii="黑体" w:eastAsia="黑体" w:hAnsi="黑体" w:cs="黑体" w:hint="eastAsia"/>
          <w:sz w:val="32"/>
          <w:szCs w:val="32"/>
        </w:rPr>
        <w:t xml:space="preserve">    第七条</w:t>
      </w:r>
      <w:r>
        <w:rPr>
          <w:rFonts w:ascii="仿宋" w:eastAsia="仿宋" w:hAnsi="仿宋" w:cs="仿宋" w:hint="eastAsia"/>
          <w:sz w:val="32"/>
          <w:szCs w:val="32"/>
        </w:rPr>
        <w:t xml:space="preserve"> 被许可人存在电力业务许可证登记或许可事项变更情形的，应当按照《电力业务许可证管理办法》《供电营业区划</w:t>
      </w:r>
      <w:r>
        <w:rPr>
          <w:rFonts w:ascii="仿宋" w:eastAsia="仿宋" w:hAnsi="仿宋" w:cs="仿宋" w:hint="eastAsia"/>
          <w:sz w:val="32"/>
          <w:szCs w:val="32"/>
        </w:rPr>
        <w:lastRenderedPageBreak/>
        <w:t>分及管理办法》《增量配电业务配电区域划分实施办法》</w:t>
      </w:r>
      <w:r w:rsidR="008B1C7D">
        <w:rPr>
          <w:rFonts w:ascii="仿宋" w:eastAsia="仿宋" w:hAnsi="仿宋" w:cs="仿宋" w:hint="eastAsia"/>
          <w:sz w:val="32"/>
          <w:szCs w:val="32"/>
        </w:rPr>
        <w:t>等</w:t>
      </w:r>
      <w:r>
        <w:rPr>
          <w:rFonts w:ascii="仿宋" w:eastAsia="仿宋" w:hAnsi="仿宋" w:cs="仿宋" w:hint="eastAsia"/>
          <w:sz w:val="32"/>
          <w:szCs w:val="32"/>
        </w:rPr>
        <w:t>有关规定，依法办理变更手续后，再申请办理电力业务许可证延续。</w:t>
      </w:r>
    </w:p>
    <w:p w:rsidR="009E7B6A" w:rsidRDefault="009E7B6A">
      <w:pPr>
        <w:spacing w:line="560" w:lineRule="exact"/>
        <w:jc w:val="center"/>
        <w:rPr>
          <w:rFonts w:ascii="黑体" w:eastAsia="黑体" w:hAnsi="黑体" w:cs="黑体"/>
          <w:sz w:val="32"/>
          <w:szCs w:val="32"/>
        </w:rPr>
      </w:pPr>
    </w:p>
    <w:p w:rsidR="009E7B6A" w:rsidRDefault="001041A2">
      <w:pPr>
        <w:spacing w:line="560" w:lineRule="exact"/>
        <w:jc w:val="center"/>
        <w:rPr>
          <w:rFonts w:ascii="黑体" w:eastAsia="黑体" w:hAnsi="黑体" w:cs="黑体"/>
          <w:sz w:val="32"/>
          <w:szCs w:val="32"/>
        </w:rPr>
      </w:pPr>
      <w:r>
        <w:rPr>
          <w:rFonts w:ascii="黑体" w:eastAsia="黑体" w:hAnsi="黑体" w:cs="黑体" w:hint="eastAsia"/>
          <w:sz w:val="32"/>
          <w:szCs w:val="32"/>
        </w:rPr>
        <w:t>第三章 电力业务许可的撤回、撤销</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 xml:space="preserve">第八条 </w:t>
      </w:r>
      <w:r>
        <w:rPr>
          <w:rFonts w:ascii="仿宋" w:eastAsia="仿宋" w:hAnsi="仿宋" w:cs="FangSong_GB2312" w:hint="eastAsia"/>
          <w:sz w:val="32"/>
          <w:szCs w:val="32"/>
        </w:rPr>
        <w:t>有下列情形之一的，派出机构可以撤回已经生效的电力业务许可决定：</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（一）电力业务许可依据的法律法规修改或者废止导致电力业务许可项目依法被终止的；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（二）准予电力业务许可所依据的客观情况发生重大变化，导致电力业务许可被终止的；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（三）依法可以撤回电力业务许可的其他情形。</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 xml:space="preserve">第九条 </w:t>
      </w:r>
      <w:r>
        <w:rPr>
          <w:rFonts w:ascii="仿宋" w:eastAsia="仿宋" w:hAnsi="仿宋" w:cs="FangSong_GB2312" w:hint="eastAsia"/>
          <w:sz w:val="32"/>
          <w:szCs w:val="32"/>
        </w:rPr>
        <w:t>有下列情形之一的，国家能源局或其派出机构可以作出撤销电力业务许可的决定：</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（一）派出机构工作人员滥用职权、玩忽职守作出准予电力业务许可决定的；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（二）超越法定职权作出准予电力业务许可决定的；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（三）违反法定程序作出准予电力业务许可决定的；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（四）对不具备申请资格或者不符合法定条件的申请人准予电力业务许可的；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（五）依法可以撤销电力业务许可的其他情形。</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被许可人以欺骗、贿赂等不正当手段取得电力业务许可的，应当予以撤销。</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lastRenderedPageBreak/>
        <w:t>撤销电力业务许可可能对公共利益造成重大损害的，不予撤销。</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 xml:space="preserve">第十条 </w:t>
      </w:r>
      <w:r>
        <w:rPr>
          <w:rFonts w:ascii="仿宋" w:eastAsia="仿宋" w:hAnsi="仿宋" w:cs="FangSong_GB2312" w:hint="eastAsia"/>
          <w:sz w:val="32"/>
          <w:szCs w:val="32"/>
        </w:rPr>
        <w:t>作出撤回、撤销电力业务许可决定前，国家能源局或其派出机构应当告知被许可人撤回、撤销电力业务许可的事实、理由和处理意见，听取被许可人的陈述和申辩。如被许可人无法联系，由准予电力业务许可的派出机构在其网站</w:t>
      </w:r>
      <w:r>
        <w:rPr>
          <w:rFonts w:ascii="仿宋" w:eastAsia="仿宋" w:hAnsi="仿宋" w:cs="Times New Roman" w:hint="eastAsia"/>
          <w:sz w:val="32"/>
        </w:rPr>
        <w:t>公告撤销、撤回电力业务许可的事实、理由和处理意见等相关信息，公告期为30日。</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仿宋" w:eastAsia="仿宋" w:hAnsi="仿宋" w:cs="FangSong_GB2312" w:hint="eastAsia"/>
          <w:sz w:val="32"/>
          <w:szCs w:val="32"/>
        </w:rPr>
        <w:t>对被许可人提出的陈述和申辩，国家能源局或其派出机构应当进行核实；被许可人提出的陈述和申辩成立的，国家能源局或其派出机构应当采纳。</w:t>
      </w:r>
    </w:p>
    <w:p w:rsidR="009E7B6A" w:rsidRDefault="009E7B6A">
      <w:pPr>
        <w:spacing w:line="560" w:lineRule="exact"/>
        <w:ind w:firstLineChars="200" w:firstLine="640"/>
        <w:rPr>
          <w:rFonts w:ascii="FangSong_GB2312" w:eastAsia="FangSong_GB2312" w:hAnsi="FangSong_GB2312" w:cs="FangSong_GB2312"/>
          <w:sz w:val="32"/>
          <w:szCs w:val="32"/>
        </w:rPr>
      </w:pPr>
    </w:p>
    <w:p w:rsidR="009E7B6A" w:rsidRDefault="001041A2">
      <w:pPr>
        <w:spacing w:line="560" w:lineRule="exact"/>
        <w:jc w:val="center"/>
        <w:rPr>
          <w:rFonts w:ascii="黑体" w:eastAsia="黑体" w:hAnsi="黑体" w:cs="黑体"/>
          <w:sz w:val="32"/>
          <w:szCs w:val="32"/>
        </w:rPr>
      </w:pPr>
      <w:r>
        <w:rPr>
          <w:rFonts w:ascii="黑体" w:eastAsia="黑体" w:hAnsi="黑体" w:cs="黑体" w:hint="eastAsia"/>
          <w:sz w:val="32"/>
          <w:szCs w:val="32"/>
        </w:rPr>
        <w:t>第四章 电力业务许可证的吊销</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 xml:space="preserve">第十一条 </w:t>
      </w:r>
      <w:r>
        <w:rPr>
          <w:rFonts w:ascii="仿宋" w:eastAsia="仿宋" w:hAnsi="仿宋" w:cs="FangSong_GB2312" w:hint="eastAsia"/>
          <w:sz w:val="32"/>
          <w:szCs w:val="32"/>
        </w:rPr>
        <w:t>被许可人有下列情形之一的，国家能源局或其派出机构可以作出吊销电力业务许可证的决定：</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（一）不遵守电力市场运行规则，情节严重的；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（二）发电厂并网、电网互联不遵守有关法律法规，情节严重的；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（三）不向从事电力交易的市场经营主体公平、无歧视开放电力市场或者不按照规定公平开放电网，情节严重的；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（四）依法可以吊销电力业务许可证的其他情形。</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 xml:space="preserve">第十二条 </w:t>
      </w:r>
      <w:r>
        <w:rPr>
          <w:rFonts w:ascii="仿宋" w:eastAsia="仿宋" w:hAnsi="仿宋" w:cs="FangSong_GB2312" w:hint="eastAsia"/>
          <w:sz w:val="32"/>
          <w:szCs w:val="32"/>
        </w:rPr>
        <w:t>吊销电力业务许可证的行政处罚，由国家能源局</w:t>
      </w:r>
      <w:r>
        <w:rPr>
          <w:rFonts w:ascii="仿宋" w:eastAsia="仿宋" w:hAnsi="仿宋" w:cs="FangSong_GB2312" w:hint="eastAsia"/>
          <w:sz w:val="32"/>
          <w:szCs w:val="32"/>
        </w:rPr>
        <w:lastRenderedPageBreak/>
        <w:t>或其派出机构按规定程序实施。</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 xml:space="preserve">第十三条 </w:t>
      </w:r>
      <w:r>
        <w:rPr>
          <w:rFonts w:ascii="仿宋" w:eastAsia="仿宋" w:hAnsi="仿宋" w:cs="FangSong_GB2312" w:hint="eastAsia"/>
          <w:sz w:val="32"/>
          <w:szCs w:val="32"/>
        </w:rPr>
        <w:t>作出吊销电力业务许可证行政处罚决定前，被许可人有陈述、申辩和要求举行听证的权利；被许可人在规定期限内要求听证的，由国家能源局或其派出机构组织听证。</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 xml:space="preserve">第十四条 </w:t>
      </w:r>
      <w:r>
        <w:rPr>
          <w:rFonts w:ascii="仿宋" w:eastAsia="仿宋" w:hAnsi="仿宋" w:cs="FangSong_GB2312" w:hint="eastAsia"/>
          <w:sz w:val="32"/>
          <w:szCs w:val="32"/>
        </w:rPr>
        <w:t>在听取被许可人陈述、申辩或者听证活动结束后，国家能源局或其派出机构认为被许可人违法事实清楚、证据确凿的，应当作出吊销电力业务许可证的决定。</w:t>
      </w:r>
    </w:p>
    <w:p w:rsidR="009E7B6A" w:rsidRDefault="009E7B6A">
      <w:pPr>
        <w:spacing w:line="560" w:lineRule="exact"/>
        <w:ind w:firstLineChars="200" w:firstLine="640"/>
        <w:rPr>
          <w:rFonts w:ascii="FangSong_GB2312" w:eastAsia="FangSong_GB2312" w:hAnsi="FangSong_GB2312" w:cs="FangSong_GB2312"/>
          <w:sz w:val="32"/>
          <w:szCs w:val="32"/>
        </w:rPr>
      </w:pPr>
    </w:p>
    <w:p w:rsidR="009E7B6A" w:rsidRDefault="001041A2">
      <w:pPr>
        <w:spacing w:line="560" w:lineRule="exact"/>
        <w:jc w:val="center"/>
        <w:rPr>
          <w:rFonts w:ascii="黑体" w:eastAsia="黑体" w:hAnsi="黑体" w:cs="黑体"/>
          <w:sz w:val="32"/>
          <w:szCs w:val="32"/>
        </w:rPr>
      </w:pPr>
      <w:r>
        <w:rPr>
          <w:rFonts w:ascii="黑体" w:eastAsia="黑体" w:hAnsi="黑体" w:cs="黑体" w:hint="eastAsia"/>
          <w:sz w:val="32"/>
          <w:szCs w:val="32"/>
        </w:rPr>
        <w:t>第五章 电力业务许可证的注销</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 xml:space="preserve">第十五条 </w:t>
      </w:r>
      <w:r>
        <w:rPr>
          <w:rFonts w:ascii="仿宋" w:eastAsia="仿宋" w:hAnsi="仿宋" w:cs="FangSong_GB2312" w:hint="eastAsia"/>
          <w:sz w:val="32"/>
          <w:szCs w:val="32"/>
        </w:rPr>
        <w:t>有下列情形之一的，应当依法办理电力业务许可证的注销手续：</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（一）电力业务许可被依法撤回、撤销，或者电力业务许可证被依法吊销的；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（二）电力业务许可证有效期届满未延续的，或者延续申请未被批准的；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（三）被许可人申请停业、歇业被批准的；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（四）被许可人因解散、破产、倒闭等原因而依法终止的；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（五）被许可人不再具有发电机组、输电网络或者供电营业区的；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（六）被许可人已丧失从事许可事项活动能力的；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（七）经核查，被许可人已不符合持有电力业务许可证法定条件的；</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lastRenderedPageBreak/>
        <w:t>（八）法律、法规规定应当注销电力业务许可证的其他情形。</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供电（含增量配电）企业因破产或者其他原因需要停业时，必须提前一个月同时向国家能源局派出机构和省级电力管理部门报告，经批准并确定接续的供电企业后，方可停业，并办理电力业务许可证注销手续。自愿终止供电业务的，还应提前6个月向社会公示，妥善处理供（配）电资产、债权债务及合同约定事项。</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 xml:space="preserve">第十六条 </w:t>
      </w:r>
      <w:r>
        <w:rPr>
          <w:rFonts w:ascii="仿宋" w:eastAsia="仿宋" w:hAnsi="仿宋" w:cs="FangSong_GB2312" w:hint="eastAsia"/>
          <w:sz w:val="32"/>
          <w:szCs w:val="32"/>
        </w:rPr>
        <w:t>发生第十五条第（一）项情形的，由派出机构在撤回、撤销、吊销决定生效后10个工作日内办理注销手续；发生第十五条第（二）项情形的，电力业务许可证有效期届满后10个工作日内办理注销手续。被许可人应当积极配合并在规定时限内交回电力业务许可证正本、副本。</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 xml:space="preserve">第十七条 </w:t>
      </w:r>
      <w:r w:rsidR="00FE0B82">
        <w:rPr>
          <w:rFonts w:ascii="仿宋" w:eastAsia="仿宋" w:hAnsi="仿宋" w:cs="FangSong_GB2312" w:hint="eastAsia"/>
          <w:sz w:val="32"/>
          <w:szCs w:val="32"/>
        </w:rPr>
        <w:t>发生第十五条第（三）至（六</w:t>
      </w:r>
      <w:r>
        <w:rPr>
          <w:rFonts w:ascii="仿宋" w:eastAsia="仿宋" w:hAnsi="仿宋" w:cs="FangSong_GB2312" w:hint="eastAsia"/>
          <w:sz w:val="32"/>
          <w:szCs w:val="32"/>
        </w:rPr>
        <w:t>）项情形的，被许可人应当在相关事项发生30日内向派出机构提出注销申请，并提交以下材料：</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（一）法定代表人签署的电力业务许可证注销申请书；</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（二）</w:t>
      </w:r>
      <w:r>
        <w:rPr>
          <w:rFonts w:ascii="仿宋" w:eastAsia="仿宋" w:hAnsi="仿宋" w:cs="FangSong_GB2312" w:hint="eastAsia"/>
          <w:spacing w:val="-6"/>
          <w:sz w:val="32"/>
          <w:szCs w:val="32"/>
        </w:rPr>
        <w:t>法定代表人身份证复印件，如需代理人办理的，</w:t>
      </w:r>
      <w:r>
        <w:rPr>
          <w:rFonts w:ascii="仿宋" w:eastAsia="仿宋" w:hAnsi="仿宋" w:cs="FangSong_GB2312" w:hint="eastAsia"/>
          <w:sz w:val="32"/>
          <w:szCs w:val="32"/>
        </w:rPr>
        <w:t>提供代理人身份证复印件，以及法定代表人签字并加盖申请单位公章的《授权委托书》原件；</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（三）电力业务许可证正本、副本；</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（四）办理注销事项所需的有关材料；</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t>（五）法律、法规规定的其他材料。</w:t>
      </w:r>
    </w:p>
    <w:p w:rsidR="009E7B6A" w:rsidRDefault="001041A2">
      <w:pPr>
        <w:spacing w:line="560" w:lineRule="exact"/>
        <w:ind w:firstLineChars="200" w:firstLine="640"/>
        <w:rPr>
          <w:rFonts w:ascii="仿宋" w:eastAsia="仿宋" w:hAnsi="仿宋" w:cs="FangSong_GB2312"/>
          <w:sz w:val="32"/>
          <w:szCs w:val="32"/>
        </w:rPr>
      </w:pPr>
      <w:r>
        <w:rPr>
          <w:rFonts w:ascii="仿宋" w:eastAsia="仿宋" w:hAnsi="仿宋" w:cs="FangSong_GB2312" w:hint="eastAsia"/>
          <w:sz w:val="32"/>
          <w:szCs w:val="32"/>
        </w:rPr>
        <w:lastRenderedPageBreak/>
        <w:t>被许可人申请材料齐全的，派出机构应在正式受理后10个工作日内办理许可证注销手续。</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 xml:space="preserve">第十八条 </w:t>
      </w:r>
      <w:r>
        <w:rPr>
          <w:rFonts w:ascii="仿宋" w:eastAsia="仿宋" w:hAnsi="仿宋" w:cs="FangSong_GB2312" w:hint="eastAsia"/>
          <w:sz w:val="32"/>
          <w:szCs w:val="32"/>
        </w:rPr>
        <w:t>被许可人未按照第十七条规定提出注销申请的，派出机构经核实相关情况后可在其网站上发布注销公告。公告期为30日，公告期满后办理注销手续。</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黑体" w:hint="eastAsia"/>
          <w:sz w:val="32"/>
          <w:szCs w:val="32"/>
        </w:rPr>
        <w:t>第十九条</w:t>
      </w:r>
      <w:r>
        <w:rPr>
          <w:rFonts w:ascii="仿宋" w:eastAsia="仿宋" w:hAnsi="仿宋" w:cs="FangSong_GB2312" w:hint="eastAsia"/>
          <w:sz w:val="32"/>
          <w:szCs w:val="32"/>
        </w:rPr>
        <w:t xml:space="preserve"> 被许可人交回的电力业务许可证正本及副本，由派出机构加盖注销专用章后归档保存。</w:t>
      </w:r>
    </w:p>
    <w:p w:rsidR="009E7B6A" w:rsidRDefault="001041A2">
      <w:pPr>
        <w:spacing w:line="560" w:lineRule="exact"/>
        <w:ind w:firstLineChars="200" w:firstLine="640"/>
        <w:rPr>
          <w:rFonts w:ascii="仿宋" w:eastAsia="仿宋" w:hAnsi="仿宋" w:cs="FangSong_GB2312"/>
          <w:sz w:val="32"/>
          <w:szCs w:val="32"/>
        </w:rPr>
      </w:pPr>
      <w:r>
        <w:rPr>
          <w:rFonts w:ascii="黑体" w:eastAsia="黑体" w:hAnsi="黑体" w:cs="FangSong_GB2312" w:hint="eastAsia"/>
          <w:sz w:val="32"/>
          <w:szCs w:val="32"/>
        </w:rPr>
        <w:t>第二十条</w:t>
      </w:r>
      <w:r w:rsidR="00D268C9">
        <w:rPr>
          <w:rFonts w:ascii="黑体" w:eastAsia="黑体" w:hAnsi="黑体" w:cs="FangSong_GB2312" w:hint="eastAsia"/>
          <w:sz w:val="32"/>
          <w:szCs w:val="32"/>
        </w:rPr>
        <w:t xml:space="preserve"> </w:t>
      </w:r>
      <w:r>
        <w:rPr>
          <w:rFonts w:ascii="仿宋" w:eastAsia="仿宋" w:hAnsi="仿宋" w:cs="FangSong_GB2312" w:hint="eastAsia"/>
          <w:sz w:val="32"/>
          <w:szCs w:val="32"/>
        </w:rPr>
        <w:t>派出机构负责公告辖区内注销电力业务许可证的被许可人名单及注销原因。</w:t>
      </w:r>
    </w:p>
    <w:p w:rsidR="009E7B6A" w:rsidRDefault="009E7B6A">
      <w:pPr>
        <w:spacing w:line="560" w:lineRule="exact"/>
        <w:rPr>
          <w:rFonts w:ascii="FangSong_GB2312" w:eastAsia="FangSong_GB2312" w:hAnsi="FangSong_GB2312" w:cs="FangSong_GB2312"/>
          <w:sz w:val="32"/>
          <w:szCs w:val="32"/>
        </w:rPr>
      </w:pPr>
    </w:p>
    <w:p w:rsidR="00824C0E" w:rsidRPr="00824C0E" w:rsidRDefault="001041A2">
      <w:pPr>
        <w:spacing w:line="560" w:lineRule="exact"/>
        <w:jc w:val="center"/>
        <w:rPr>
          <w:rFonts w:ascii="黑体" w:eastAsia="黑体" w:hAnsi="黑体" w:cs="黑体"/>
          <w:sz w:val="32"/>
          <w:szCs w:val="32"/>
        </w:rPr>
      </w:pPr>
      <w:r>
        <w:rPr>
          <w:rFonts w:ascii="黑体" w:eastAsia="黑体" w:hAnsi="黑体" w:cs="黑体" w:hint="eastAsia"/>
          <w:sz w:val="32"/>
          <w:szCs w:val="32"/>
        </w:rPr>
        <w:t>第六章 附  则</w:t>
      </w:r>
    </w:p>
    <w:p w:rsidR="009E7B6A" w:rsidRDefault="001041A2">
      <w:pPr>
        <w:spacing w:line="560" w:lineRule="exact"/>
        <w:ind w:firstLineChars="200" w:firstLine="640"/>
        <w:rPr>
          <w:rFonts w:ascii="黑体" w:eastAsia="黑体" w:hAnsi="黑体" w:cs="FangSong_GB2312"/>
          <w:sz w:val="32"/>
          <w:szCs w:val="32"/>
        </w:rPr>
      </w:pPr>
      <w:r>
        <w:rPr>
          <w:rFonts w:ascii="黑体" w:eastAsia="黑体" w:hAnsi="黑体" w:cs="FangSong_GB2312" w:hint="eastAsia"/>
          <w:sz w:val="32"/>
          <w:szCs w:val="32"/>
        </w:rPr>
        <w:t xml:space="preserve">第二十一条 </w:t>
      </w:r>
      <w:r>
        <w:rPr>
          <w:rFonts w:ascii="仿宋" w:eastAsia="仿宋" w:hAnsi="仿宋" w:hint="eastAsia"/>
          <w:color w:val="000000" w:themeColor="text1"/>
          <w:sz w:val="32"/>
          <w:szCs w:val="32"/>
        </w:rPr>
        <w:t>本办法中有关期限规定的“日”是指自然日。</w:t>
      </w:r>
    </w:p>
    <w:p w:rsidR="009E7B6A" w:rsidRDefault="001041A2">
      <w:pPr>
        <w:spacing w:line="560" w:lineRule="exact"/>
        <w:ind w:firstLineChars="200" w:firstLine="640"/>
        <w:rPr>
          <w:rFonts w:ascii="FangSong_GB2312" w:eastAsia="FangSong_GB2312" w:hAnsi="FangSong_GB2312" w:cs="FangSong_GB2312"/>
          <w:sz w:val="32"/>
          <w:szCs w:val="32"/>
        </w:rPr>
      </w:pPr>
      <w:r>
        <w:rPr>
          <w:rFonts w:ascii="黑体" w:eastAsia="黑体" w:hAnsi="黑体" w:cs="FangSong_GB2312" w:hint="eastAsia"/>
          <w:sz w:val="32"/>
          <w:szCs w:val="32"/>
        </w:rPr>
        <w:t xml:space="preserve">第二十二条 </w:t>
      </w:r>
      <w:r>
        <w:rPr>
          <w:rFonts w:ascii="仿宋" w:eastAsia="仿宋" w:hAnsi="仿宋" w:cs="FangSong_GB2312" w:hint="eastAsia"/>
          <w:sz w:val="32"/>
          <w:szCs w:val="32"/>
        </w:rPr>
        <w:t>本办法自印发之日起施行，有效期5年。原《电力业务许可证注销管理办法》</w:t>
      </w:r>
      <w:r>
        <w:rPr>
          <w:rFonts w:ascii="仿宋" w:eastAsia="仿宋" w:hAnsi="仿宋" w:cs="方正小标宋简体" w:hint="eastAsia"/>
          <w:bCs/>
          <w:sz w:val="32"/>
          <w:szCs w:val="32"/>
        </w:rPr>
        <w:t>（</w:t>
      </w:r>
      <w:r>
        <w:rPr>
          <w:rFonts w:ascii="仿宋" w:eastAsia="仿宋" w:hAnsi="仿宋" w:hint="eastAsia"/>
          <w:sz w:val="32"/>
          <w:szCs w:val="32"/>
        </w:rPr>
        <w:t>国能发资质规﹝2021﹞33号</w:t>
      </w:r>
      <w:r>
        <w:rPr>
          <w:rFonts w:ascii="仿宋" w:eastAsia="仿宋" w:hAnsi="仿宋" w:cs="方正小标宋简体" w:hint="eastAsia"/>
          <w:bCs/>
          <w:sz w:val="32"/>
          <w:szCs w:val="32"/>
        </w:rPr>
        <w:t>）同时废止。</w:t>
      </w:r>
    </w:p>
    <w:sectPr w:rsidR="009E7B6A" w:rsidSect="009E7B6A">
      <w:footerReference w:type="default" r:id="rId7"/>
      <w:pgSz w:w="11906" w:h="16838"/>
      <w:pgMar w:top="2098" w:right="1531" w:bottom="1984"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B75" w:rsidRDefault="005F3B75" w:rsidP="009E7B6A">
      <w:pPr>
        <w:ind w:firstLine="640"/>
      </w:pPr>
      <w:r>
        <w:separator/>
      </w:r>
    </w:p>
  </w:endnote>
  <w:endnote w:type="continuationSeparator" w:id="1">
    <w:p w:rsidR="005F3B75" w:rsidRDefault="005F3B75" w:rsidP="009E7B6A">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36014B08-19CF-43AA-A7AD-D60F112D9AB7}"/>
  </w:font>
  <w:font w:name="方正小标宋简体">
    <w:panose1 w:val="02010601030101010101"/>
    <w:charset w:val="86"/>
    <w:family w:val="auto"/>
    <w:pitch w:val="variable"/>
    <w:sig w:usb0="00000001" w:usb1="080E0000" w:usb2="00000010" w:usb3="00000000" w:csb0="00040000" w:csb1="00000000"/>
    <w:embedRegular r:id="rId2" w:subsetted="1" w:fontKey="{5B472694-757D-4D75-8B42-6921E85963BF}"/>
  </w:font>
  <w:font w:name="仿宋">
    <w:panose1 w:val="02010609060101010101"/>
    <w:charset w:val="86"/>
    <w:family w:val="modern"/>
    <w:pitch w:val="fixed"/>
    <w:sig w:usb0="800002BF" w:usb1="38CF7CFA" w:usb2="00000016" w:usb3="00000000" w:csb0="00040001" w:csb1="00000000"/>
    <w:embedRegular r:id="rId3" w:subsetted="1" w:fontKey="{3B983CD4-62F3-42B6-B73E-1F38CB4BE157}"/>
  </w:font>
  <w:font w:name="FangSong_GB2312">
    <w:panose1 w:val="02010609060101010101"/>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68376"/>
    </w:sdtPr>
    <w:sdtContent>
      <w:p w:rsidR="009E7B6A" w:rsidRDefault="006F4F18">
        <w:pPr>
          <w:pStyle w:val="a4"/>
          <w:jc w:val="center"/>
        </w:pPr>
        <w:r>
          <w:rPr>
            <w:rFonts w:ascii="宋体" w:eastAsia="宋体" w:hAnsi="宋体"/>
            <w:sz w:val="24"/>
            <w:szCs w:val="24"/>
          </w:rPr>
          <w:fldChar w:fldCharType="begin"/>
        </w:r>
        <w:r w:rsidR="001041A2">
          <w:rPr>
            <w:rFonts w:ascii="宋体" w:eastAsia="宋体" w:hAnsi="宋体"/>
            <w:sz w:val="24"/>
            <w:szCs w:val="24"/>
          </w:rPr>
          <w:instrText xml:space="preserve"> PAGE   \* MERGEFORMAT </w:instrText>
        </w:r>
        <w:r>
          <w:rPr>
            <w:rFonts w:ascii="宋体" w:eastAsia="宋体" w:hAnsi="宋体"/>
            <w:sz w:val="24"/>
            <w:szCs w:val="24"/>
          </w:rPr>
          <w:fldChar w:fldCharType="separate"/>
        </w:r>
        <w:r w:rsidR="00D87CCA" w:rsidRPr="00D87CCA">
          <w:rPr>
            <w:rFonts w:ascii="宋体" w:eastAsia="宋体" w:hAnsi="宋体"/>
            <w:noProof/>
            <w:sz w:val="24"/>
            <w:szCs w:val="24"/>
            <w:lang w:val="zh-CN"/>
          </w:rPr>
          <w:t>-</w:t>
        </w:r>
        <w:r w:rsidR="00D87CCA">
          <w:rPr>
            <w:rFonts w:ascii="宋体" w:eastAsia="宋体" w:hAnsi="宋体"/>
            <w:noProof/>
            <w:sz w:val="24"/>
            <w:szCs w:val="24"/>
          </w:rPr>
          <w:t xml:space="preserve"> 1 -</w:t>
        </w:r>
        <w:r>
          <w:rPr>
            <w:rFonts w:ascii="宋体" w:eastAsia="宋体" w:hAnsi="宋体"/>
            <w:sz w:val="24"/>
            <w:szCs w:val="24"/>
          </w:rPr>
          <w:fldChar w:fldCharType="end"/>
        </w:r>
      </w:p>
    </w:sdtContent>
  </w:sdt>
  <w:p w:rsidR="009E7B6A" w:rsidRDefault="009E7B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B75" w:rsidRDefault="005F3B75" w:rsidP="009E7B6A">
      <w:pPr>
        <w:ind w:firstLine="640"/>
      </w:pPr>
      <w:r>
        <w:separator/>
      </w:r>
    </w:p>
  </w:footnote>
  <w:footnote w:type="continuationSeparator" w:id="1">
    <w:p w:rsidR="005F3B75" w:rsidRDefault="005F3B75" w:rsidP="009E7B6A">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512A"/>
    <w:rsid w:val="00045BAA"/>
    <w:rsid w:val="00066458"/>
    <w:rsid w:val="000827A2"/>
    <w:rsid w:val="000C1A3C"/>
    <w:rsid w:val="000C4EA1"/>
    <w:rsid w:val="001041A2"/>
    <w:rsid w:val="001409FE"/>
    <w:rsid w:val="001473CE"/>
    <w:rsid w:val="00163EA7"/>
    <w:rsid w:val="001A1E80"/>
    <w:rsid w:val="001A7BA9"/>
    <w:rsid w:val="0021100C"/>
    <w:rsid w:val="0021284C"/>
    <w:rsid w:val="00275759"/>
    <w:rsid w:val="0029380C"/>
    <w:rsid w:val="00294DCD"/>
    <w:rsid w:val="00296B7F"/>
    <w:rsid w:val="002B016C"/>
    <w:rsid w:val="002C093A"/>
    <w:rsid w:val="002C140A"/>
    <w:rsid w:val="002D3652"/>
    <w:rsid w:val="002E7D9D"/>
    <w:rsid w:val="00313A49"/>
    <w:rsid w:val="003277BD"/>
    <w:rsid w:val="003B4294"/>
    <w:rsid w:val="003F4167"/>
    <w:rsid w:val="004046BF"/>
    <w:rsid w:val="00435974"/>
    <w:rsid w:val="0046164B"/>
    <w:rsid w:val="004657A1"/>
    <w:rsid w:val="004743E6"/>
    <w:rsid w:val="004C08ED"/>
    <w:rsid w:val="005617D6"/>
    <w:rsid w:val="005655D0"/>
    <w:rsid w:val="005671ED"/>
    <w:rsid w:val="00590AFA"/>
    <w:rsid w:val="005A537D"/>
    <w:rsid w:val="005B57BE"/>
    <w:rsid w:val="005C00AE"/>
    <w:rsid w:val="005D3C36"/>
    <w:rsid w:val="005E2F14"/>
    <w:rsid w:val="005F3B75"/>
    <w:rsid w:val="00621F37"/>
    <w:rsid w:val="0065466B"/>
    <w:rsid w:val="00670585"/>
    <w:rsid w:val="00693AF5"/>
    <w:rsid w:val="006A0444"/>
    <w:rsid w:val="006C6ABA"/>
    <w:rsid w:val="006E01E6"/>
    <w:rsid w:val="006F4F18"/>
    <w:rsid w:val="00724A2A"/>
    <w:rsid w:val="00741DA7"/>
    <w:rsid w:val="00782E99"/>
    <w:rsid w:val="007944E6"/>
    <w:rsid w:val="007A3394"/>
    <w:rsid w:val="007B1292"/>
    <w:rsid w:val="007B689D"/>
    <w:rsid w:val="007D78B8"/>
    <w:rsid w:val="007E43A1"/>
    <w:rsid w:val="00804BA8"/>
    <w:rsid w:val="00811C1E"/>
    <w:rsid w:val="00812E5E"/>
    <w:rsid w:val="00824287"/>
    <w:rsid w:val="00824C0E"/>
    <w:rsid w:val="008276B8"/>
    <w:rsid w:val="00836C29"/>
    <w:rsid w:val="00842A13"/>
    <w:rsid w:val="00864205"/>
    <w:rsid w:val="008A739D"/>
    <w:rsid w:val="008B1C7D"/>
    <w:rsid w:val="008C4BD7"/>
    <w:rsid w:val="008C562B"/>
    <w:rsid w:val="008F60D4"/>
    <w:rsid w:val="0090512A"/>
    <w:rsid w:val="00914709"/>
    <w:rsid w:val="00983196"/>
    <w:rsid w:val="009A4C96"/>
    <w:rsid w:val="009E2028"/>
    <w:rsid w:val="009E2AD0"/>
    <w:rsid w:val="009E7B6A"/>
    <w:rsid w:val="00A00560"/>
    <w:rsid w:val="00A101FA"/>
    <w:rsid w:val="00A24965"/>
    <w:rsid w:val="00A25A17"/>
    <w:rsid w:val="00A31FFE"/>
    <w:rsid w:val="00A65485"/>
    <w:rsid w:val="00A73C08"/>
    <w:rsid w:val="00A97631"/>
    <w:rsid w:val="00AB12DB"/>
    <w:rsid w:val="00AC268E"/>
    <w:rsid w:val="00AC73E8"/>
    <w:rsid w:val="00AD3190"/>
    <w:rsid w:val="00AF17B3"/>
    <w:rsid w:val="00B000CD"/>
    <w:rsid w:val="00B55167"/>
    <w:rsid w:val="00B56260"/>
    <w:rsid w:val="00B6378F"/>
    <w:rsid w:val="00B65974"/>
    <w:rsid w:val="00B92FA8"/>
    <w:rsid w:val="00BB2070"/>
    <w:rsid w:val="00BF3201"/>
    <w:rsid w:val="00BF3FF6"/>
    <w:rsid w:val="00BF7143"/>
    <w:rsid w:val="00C15C05"/>
    <w:rsid w:val="00C310E6"/>
    <w:rsid w:val="00C41E44"/>
    <w:rsid w:val="00CA01C7"/>
    <w:rsid w:val="00CC4FC9"/>
    <w:rsid w:val="00CD2136"/>
    <w:rsid w:val="00CD6F07"/>
    <w:rsid w:val="00CF75AF"/>
    <w:rsid w:val="00D140A1"/>
    <w:rsid w:val="00D268C9"/>
    <w:rsid w:val="00D3114B"/>
    <w:rsid w:val="00D42396"/>
    <w:rsid w:val="00D50105"/>
    <w:rsid w:val="00D819B1"/>
    <w:rsid w:val="00D87CCA"/>
    <w:rsid w:val="00DA40BC"/>
    <w:rsid w:val="00DC2CB2"/>
    <w:rsid w:val="00E31F39"/>
    <w:rsid w:val="00E45FBE"/>
    <w:rsid w:val="00E500A5"/>
    <w:rsid w:val="00E74A7A"/>
    <w:rsid w:val="00E77B3B"/>
    <w:rsid w:val="00EA23DE"/>
    <w:rsid w:val="00ED4599"/>
    <w:rsid w:val="00F00A1B"/>
    <w:rsid w:val="00F76ECF"/>
    <w:rsid w:val="00F81401"/>
    <w:rsid w:val="00F81537"/>
    <w:rsid w:val="00F93B9B"/>
    <w:rsid w:val="00FB1BD0"/>
    <w:rsid w:val="00FE0B82"/>
    <w:rsid w:val="00FE688C"/>
    <w:rsid w:val="00FF2649"/>
    <w:rsid w:val="04113A2B"/>
    <w:rsid w:val="0A2A53A9"/>
    <w:rsid w:val="0ADF2A87"/>
    <w:rsid w:val="0BE91440"/>
    <w:rsid w:val="0E87129D"/>
    <w:rsid w:val="0ED96795"/>
    <w:rsid w:val="1B604DF7"/>
    <w:rsid w:val="1E5B504F"/>
    <w:rsid w:val="23DF51AB"/>
    <w:rsid w:val="2631587B"/>
    <w:rsid w:val="26695352"/>
    <w:rsid w:val="2BD5647E"/>
    <w:rsid w:val="30D87672"/>
    <w:rsid w:val="3A4F678F"/>
    <w:rsid w:val="423D1410"/>
    <w:rsid w:val="453518D8"/>
    <w:rsid w:val="45AB2E01"/>
    <w:rsid w:val="4D586DDC"/>
    <w:rsid w:val="4DAD1E03"/>
    <w:rsid w:val="4F616B87"/>
    <w:rsid w:val="518B21B6"/>
    <w:rsid w:val="545170FD"/>
    <w:rsid w:val="56B64DD1"/>
    <w:rsid w:val="584A57C9"/>
    <w:rsid w:val="5C692CDD"/>
    <w:rsid w:val="5D834448"/>
    <w:rsid w:val="604162CA"/>
    <w:rsid w:val="60BC7CA3"/>
    <w:rsid w:val="60E562E7"/>
    <w:rsid w:val="613A3185"/>
    <w:rsid w:val="65E759CD"/>
    <w:rsid w:val="6A6304CE"/>
    <w:rsid w:val="6F4F7801"/>
    <w:rsid w:val="71C83291"/>
    <w:rsid w:val="770F12E5"/>
    <w:rsid w:val="7C8C25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7B6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E7B6A"/>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E7B6A"/>
    <w:rPr>
      <w:sz w:val="18"/>
      <w:szCs w:val="18"/>
    </w:rPr>
  </w:style>
  <w:style w:type="paragraph" w:styleId="a4">
    <w:name w:val="footer"/>
    <w:basedOn w:val="a"/>
    <w:link w:val="Char0"/>
    <w:uiPriority w:val="99"/>
    <w:qFormat/>
    <w:rsid w:val="009E7B6A"/>
    <w:pPr>
      <w:tabs>
        <w:tab w:val="center" w:pos="4153"/>
        <w:tab w:val="right" w:pos="8306"/>
      </w:tabs>
      <w:snapToGrid w:val="0"/>
      <w:jc w:val="left"/>
    </w:pPr>
    <w:rPr>
      <w:sz w:val="18"/>
      <w:szCs w:val="18"/>
    </w:rPr>
  </w:style>
  <w:style w:type="paragraph" w:styleId="a5">
    <w:name w:val="header"/>
    <w:basedOn w:val="a"/>
    <w:link w:val="Char1"/>
    <w:qFormat/>
    <w:rsid w:val="009E7B6A"/>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E7B6A"/>
    <w:pPr>
      <w:spacing w:beforeAutospacing="1" w:afterAutospacing="1"/>
      <w:jc w:val="left"/>
    </w:pPr>
    <w:rPr>
      <w:rFonts w:cs="Times New Roman"/>
      <w:kern w:val="0"/>
      <w:sz w:val="24"/>
    </w:rPr>
  </w:style>
  <w:style w:type="character" w:styleId="a7">
    <w:name w:val="Strong"/>
    <w:basedOn w:val="a0"/>
    <w:qFormat/>
    <w:rsid w:val="009E7B6A"/>
    <w:rPr>
      <w:b/>
    </w:rPr>
  </w:style>
  <w:style w:type="character" w:styleId="a8">
    <w:name w:val="Hyperlink"/>
    <w:basedOn w:val="a0"/>
    <w:qFormat/>
    <w:rsid w:val="009E7B6A"/>
    <w:rPr>
      <w:color w:val="0000FF"/>
      <w:u w:val="single"/>
    </w:rPr>
  </w:style>
  <w:style w:type="character" w:customStyle="1" w:styleId="Char1">
    <w:name w:val="页眉 Char"/>
    <w:basedOn w:val="a0"/>
    <w:link w:val="a5"/>
    <w:qFormat/>
    <w:rsid w:val="009E7B6A"/>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9E7B6A"/>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9E7B6A"/>
    <w:rPr>
      <w:rFonts w:asciiTheme="minorHAnsi" w:eastAsiaTheme="minorEastAsia" w:hAnsiTheme="minorHAnsi" w:cstheme="minorBidi"/>
      <w:kern w:val="2"/>
      <w:sz w:val="18"/>
      <w:szCs w:val="18"/>
    </w:rPr>
  </w:style>
  <w:style w:type="character" w:customStyle="1" w:styleId="15">
    <w:name w:val="15"/>
    <w:basedOn w:val="a0"/>
    <w:rsid w:val="00824C0E"/>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73357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31CBE-B70C-488A-93FD-8723A5461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2</cp:revision>
  <cp:lastPrinted>2025-10-23T00:37:00Z</cp:lastPrinted>
  <dcterms:created xsi:type="dcterms:W3CDTF">2025-10-23T00:50:00Z</dcterms:created>
  <dcterms:modified xsi:type="dcterms:W3CDTF">2025-10-23T00:50:00Z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eyJoZGlkIjoiMDcwNmNjNjlhOTA1MGJkNjJjMzkyOTczY2Q5NmRlZjIiLCJ1c2VySWQiOiIxMDc0Mjc0ODc5In0=</vt:lpwstr>
  </property>
  <property fmtid="{D5CDD505-2E9C-101B-9397-08002B2CF9AE}" pid="4" name="ICV">
    <vt:lpwstr>829B2BC1EE0F4C738616D8E37E3642AF_13</vt:lpwstr>
  </property>
</Properties>
</file>